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066"/>
        <w:gridCol w:w="1560"/>
        <w:gridCol w:w="2693"/>
        <w:gridCol w:w="1486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22161547" w:rsidR="00243DEB" w:rsidRDefault="00603BE1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赛道一: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适老空间设计改造</w:t>
            </w:r>
          </w:p>
          <w:p w14:paraId="17253A4D" w14:textId="4B3D4DCF" w:rsid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9C420C" w:rsidRDefault="00125FA7" w:rsidP="009C420C">
            <w:pPr>
              <w:pStyle w:val="af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C42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9C42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9C42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9C420C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22347651" w:rsidR="00D86A65" w:rsidRPr="00A97F77" w:rsidRDefault="007A25A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舞伴——广场舞服务系统设计</w:t>
            </w:r>
          </w:p>
        </w:tc>
      </w:tr>
      <w:tr w:rsidR="00A97F77" w14:paraId="6B0B4541" w14:textId="77777777" w:rsidTr="00BB7B78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BB7B78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8AEF779" w14:textId="132C0531" w:rsidR="00A97F77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张欣羽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58AF3A" w14:textId="7850BCAF" w:rsidR="00A97F77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3512981506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72ED7" w14:textId="45EE9D75" w:rsidR="00A97F77" w:rsidRPr="00A97F77" w:rsidRDefault="007A25A2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A25A2">
              <w:rPr>
                <w:rFonts w:ascii="微软雅黑" w:eastAsia="微软雅黑" w:hAnsi="微软雅黑" w:cs="微软雅黑"/>
                <w:color w:val="000000"/>
                <w:szCs w:val="21"/>
              </w:rPr>
              <w:t>820831958@qq.com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9DCE816" w14:textId="1F4F43AF" w:rsidR="00A97F77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北京邮电大学</w:t>
            </w:r>
          </w:p>
        </w:tc>
      </w:tr>
      <w:tr w:rsidR="00D86A65" w14:paraId="2F050A45" w14:textId="77777777" w:rsidTr="00BB7B78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0A9A51" w14:textId="51ABCCA7" w:rsidR="00D86A65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金姝玥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CED292" w14:textId="78DF05E1" w:rsidR="00D86A65" w:rsidRPr="00A97F77" w:rsidRDefault="004636C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4636C7">
              <w:rPr>
                <w:rFonts w:ascii="微软雅黑" w:eastAsia="微软雅黑" w:hAnsi="微软雅黑" w:cs="微软雅黑"/>
                <w:color w:val="000000"/>
                <w:szCs w:val="21"/>
              </w:rPr>
              <w:t>13031157188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70E6E9" w14:textId="41377ECC" w:rsidR="00D86A65" w:rsidRPr="00A97F77" w:rsidRDefault="003661FF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661FF">
              <w:rPr>
                <w:rFonts w:ascii="微软雅黑" w:eastAsia="微软雅黑" w:hAnsi="微软雅黑" w:cs="微软雅黑"/>
                <w:color w:val="000000"/>
                <w:szCs w:val="21"/>
              </w:rPr>
              <w:t>jinshuyue029@163.com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F573124" w14:textId="743E90CC" w:rsidR="00D86A65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北京邮电大学</w:t>
            </w:r>
          </w:p>
        </w:tc>
      </w:tr>
      <w:tr w:rsidR="00D86A65" w14:paraId="2FE1590B" w14:textId="77777777" w:rsidTr="00BB7B78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BDF4DCA" w14:textId="35E777CC" w:rsidR="007A25A2" w:rsidRPr="00A97F77" w:rsidRDefault="007A25A2" w:rsidP="007A25A2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吕林锴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B82ACE" w14:textId="0C3EE9D0" w:rsidR="00D86A65" w:rsidRPr="00A97F77" w:rsidRDefault="00B631A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3031016366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EF461" w14:textId="1B8A12B3" w:rsidR="00D86A65" w:rsidRPr="00A97F77" w:rsidRDefault="00B631A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916431163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@qq.com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021B63" w14:textId="3EE46073" w:rsidR="00D86A65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北京邮电大学</w:t>
            </w:r>
          </w:p>
        </w:tc>
      </w:tr>
      <w:tr w:rsidR="008C557B" w14:paraId="399E369C" w14:textId="77777777" w:rsidTr="00BB7B78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F90B9B8" w14:textId="0BEB9B43" w:rsidR="008C557B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张萌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31BF82" w14:textId="76A97FBF" w:rsidR="008C557B" w:rsidRPr="00A97F77" w:rsidRDefault="00B631A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631A5">
              <w:rPr>
                <w:rFonts w:ascii="微软雅黑" w:eastAsia="微软雅黑" w:hAnsi="微软雅黑" w:cs="微软雅黑"/>
                <w:color w:val="000000"/>
                <w:szCs w:val="21"/>
              </w:rPr>
              <w:t>13261773366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C94D9" w14:textId="03087628" w:rsidR="008C557B" w:rsidRPr="00A97F77" w:rsidRDefault="00B631A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B631A5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1146571745@qq.com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3732A2" w14:textId="5A54E761" w:rsidR="008C557B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北京邮电大学</w:t>
            </w:r>
          </w:p>
        </w:tc>
      </w:tr>
      <w:tr w:rsidR="008C557B" w14:paraId="6933FA22" w14:textId="77777777" w:rsidTr="00BB7B78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D9A0426" w14:textId="68B01E1F" w:rsidR="008C557B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马超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9E02B8" w14:textId="72A7CC40" w:rsidR="008C557B" w:rsidRPr="00A97F77" w:rsidRDefault="00B631A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631A5">
              <w:rPr>
                <w:rFonts w:ascii="微软雅黑" w:eastAsia="微软雅黑" w:hAnsi="微软雅黑" w:cs="微软雅黑"/>
                <w:color w:val="000000"/>
                <w:szCs w:val="21"/>
              </w:rPr>
              <w:t>15810813793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DB0950" w14:textId="2A53A01F" w:rsidR="008C557B" w:rsidRPr="00A97F77" w:rsidRDefault="00B631A5" w:rsidP="00B631A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B631A5">
              <w:rPr>
                <w:rFonts w:ascii="微软雅黑" w:eastAsia="微软雅黑" w:hAnsi="微软雅黑" w:cs="微软雅黑"/>
                <w:color w:val="000000"/>
                <w:szCs w:val="21"/>
              </w:rPr>
              <w:t>895142861@qq.com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010BF1" w14:textId="063D58A5" w:rsidR="008C557B" w:rsidRPr="00A97F77" w:rsidRDefault="007A25A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北京邮电大学</w:t>
            </w:r>
          </w:p>
        </w:tc>
      </w:tr>
      <w:tr w:rsidR="00D86A65" w14:paraId="6618DFBB" w14:textId="77777777" w:rsidTr="00BB7B78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BB7B78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11CCA69C" w14:textId="7BFA140E" w:rsidR="00173C3E" w:rsidRPr="00A97F77" w:rsidRDefault="007C092D" w:rsidP="0002203D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“</w:t>
            </w:r>
            <w:r w:rsidRPr="007C092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舞伴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”</w:t>
            </w:r>
            <w:r w:rsidRPr="007C092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是我们为低龄活力老人针对广场舞娱乐服务体系设计的一个品牌。</w:t>
            </w:r>
            <w:r w:rsidR="001C6CB4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通过</w:t>
            </w:r>
            <w:r w:rsidR="00923E2A" w:rsidRPr="00923E2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优化广场舞系统内领舞、普通舞者、观众及普通大众的体验，赋予广场舞社交文化，改变广场舞社会地位</w:t>
            </w:r>
            <w:r w:rsidR="001C6CB4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</w:t>
            </w:r>
            <w:r w:rsidR="00923E2A" w:rsidRPr="00923E2A">
              <w:rPr>
                <w:rFonts w:ascii="微软雅黑" w:eastAsia="微软雅黑" w:hAnsi="微软雅黑" w:cs="微软雅黑"/>
                <w:color w:val="000000"/>
                <w:szCs w:val="21"/>
              </w:rPr>
              <w:t>使其成</w:t>
            </w:r>
            <w:r w:rsidR="00923E2A" w:rsidRPr="00923E2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为中国社交文化的代表。构建以社交</w:t>
            </w:r>
            <w:r w:rsidR="00923E2A" w:rsidRPr="00923E2A">
              <w:rPr>
                <w:rFonts w:ascii="微软雅黑" w:eastAsia="微软雅黑" w:hAnsi="微软雅黑" w:cs="微软雅黑"/>
                <w:color w:val="000000"/>
                <w:szCs w:val="21"/>
              </w:rPr>
              <w:t>APP、智能音箱及模块</w:t>
            </w:r>
            <w:r w:rsidR="00923E2A" w:rsidRPr="00923E2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化音箱架为基础</w:t>
            </w:r>
            <w:r w:rsidR="001C6CB4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触点</w:t>
            </w:r>
            <w:r w:rsidR="00923E2A" w:rsidRPr="00923E2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，结合第三方广场舞表演策划为辅的广场舞娱乐体系。</w:t>
            </w:r>
          </w:p>
          <w:p w14:paraId="12C1E03E" w14:textId="77777777" w:rsidR="0002203D" w:rsidRDefault="00F27292" w:rsidP="0002203D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首先，收集到不同人群对广场舞的态度。我们发现，社会对于广场舞的争议与分歧基本就是由领舞、普通舞者、（想参与的）观众、普通大众对广场舞的不同态度而产生。每个利益</w:t>
            </w:r>
            <w:r w:rsidRPr="00F272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lastRenderedPageBreak/>
              <w:t>相关者的需求可分为“社会认同感”及“社会参与感”两个维度。并发现四类人群最终愿景都落在了“社交文化”。由此提出“让广场舞成为一种社交文化”的理念。并提出改善广场舞社会地位的三个设计机会点：</w:t>
            </w:r>
          </w:p>
          <w:p w14:paraId="323D18D6" w14:textId="77777777" w:rsidR="0002203D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1.结合当前行技术，减少广场舞的干扰提升广场舞的社会认同感</w:t>
            </w:r>
            <w:r w:rsidR="0002203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；</w:t>
            </w:r>
          </w:p>
          <w:p w14:paraId="19C43FC7" w14:textId="77777777" w:rsidR="0002203D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2.利用互联网时代，改善广场舞舞者社交体验点，以提升舞者社会参与感</w:t>
            </w:r>
            <w:r w:rsidR="0002203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；</w:t>
            </w:r>
          </w:p>
          <w:p w14:paraId="465C2BC2" w14:textId="6CEEA1DB" w:rsidR="00F27292" w:rsidRPr="00F27292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3.扩大参加广场舞系统的人员范</w:t>
            </w:r>
            <w:r w:rsidRPr="00F272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围，打造广场舞社交文化</w:t>
            </w:r>
            <w:r w:rsidR="0002203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。</w:t>
            </w:r>
          </w:p>
          <w:p w14:paraId="1178741A" w14:textId="494F08E2" w:rsidR="00F27292" w:rsidRPr="00F27292" w:rsidRDefault="0002203D" w:rsidP="0002203D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而后，</w:t>
            </w:r>
            <w:r w:rsidR="00F27292" w:rsidRPr="00F272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我们对需求进行功能转化。将有可以同时满足两类人群的功能作为主要体验点。舞伴以其创新的全方位体验点集合为四大触点：</w:t>
            </w:r>
          </w:p>
          <w:p w14:paraId="550ABC78" w14:textId="27B712DF" w:rsidR="00F27292" w:rsidRPr="00F27292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1.合定向声源和光源融和的音箱</w:t>
            </w:r>
            <w:r w:rsidR="00E1248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；</w:t>
            </w:r>
          </w:p>
          <w:p w14:paraId="17ED3C2F" w14:textId="0F671C67" w:rsidR="00F27292" w:rsidRPr="00F27292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2.为领舞专门打造了方便便捷管理音响的模块化音响架</w:t>
            </w:r>
            <w:r w:rsidR="00E1248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；</w:t>
            </w:r>
          </w:p>
          <w:p w14:paraId="032AA2D5" w14:textId="5F6C786C" w:rsidR="00F27292" w:rsidRPr="00F27292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3.满足普通舞者社交需求及领舞管理组织需求的线上APP</w:t>
            </w:r>
            <w:r w:rsidR="00E1248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；</w:t>
            </w:r>
          </w:p>
          <w:p w14:paraId="2AB3061D" w14:textId="38C3B008" w:rsidR="008B2573" w:rsidRDefault="00F27292" w:rsidP="0002203D">
            <w:pPr>
              <w:ind w:leftChars="200" w:left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4.以“舞伴”品牌为核心的广场舞表演策划</w:t>
            </w:r>
            <w:r w:rsidR="008B25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。</w:t>
            </w:r>
          </w:p>
          <w:p w14:paraId="15B56AFF" w14:textId="58C8CED1" w:rsidR="00F27292" w:rsidRPr="00F27292" w:rsidRDefault="00F27292" w:rsidP="00C26283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27292">
              <w:rPr>
                <w:rFonts w:ascii="微软雅黑" w:eastAsia="微软雅黑" w:hAnsi="微软雅黑" w:cs="微软雅黑"/>
                <w:color w:val="000000"/>
                <w:szCs w:val="21"/>
              </w:rPr>
              <w:t>为四类用户打造满足其自身需求的体验，结合商业模式其自运营，最终使广场舞成为一种社交文化。</w:t>
            </w:r>
          </w:p>
          <w:p w14:paraId="75546233" w14:textId="6FFCB56D" w:rsidR="0002203D" w:rsidRPr="00A97F77" w:rsidRDefault="0002203D" w:rsidP="00173C3E">
            <w:pPr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</w:tbl>
    <w:p w14:paraId="5B689D8A" w14:textId="77777777" w:rsidR="0002203D" w:rsidRDefault="0002203D" w:rsidP="00282F4B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16819A98" w14:textId="77777777" w:rsidR="0002203D" w:rsidRDefault="0002203D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3CBE4" w14:textId="57709E9C" w:rsidR="007C7424" w:rsidRPr="00282F4B" w:rsidRDefault="007C7424" w:rsidP="00282F4B">
      <w:pPr>
        <w:widowControl/>
        <w:jc w:val="left"/>
        <w:rPr>
          <w:b/>
          <w:bCs/>
        </w:rPr>
      </w:pPr>
      <w:r w:rsidRPr="0013002F"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285"/>
        <w:gridCol w:w="1701"/>
        <w:gridCol w:w="2268"/>
        <w:gridCol w:w="1257"/>
      </w:tblGrid>
      <w:tr w:rsidR="007C7424" w:rsidRPr="00173C3E" w14:paraId="3F70FFA5" w14:textId="77777777" w:rsidTr="00173C3E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3C3C7885" w14:textId="4B5ED478" w:rsidR="0058385A" w:rsidRDefault="00E6469F" w:rsidP="00FA479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Design Competition in</w:t>
            </w:r>
            <w:r w:rsidR="00FA4799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8385A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 District, Weinan</w:t>
            </w:r>
          </w:p>
          <w:p w14:paraId="65C13090" w14:textId="73BD8014" w:rsidR="00FA4799" w:rsidRPr="00FA4799" w:rsidRDefault="00FA4799" w:rsidP="00FA4799">
            <w:pPr>
              <w:pStyle w:val="af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</w:t>
            </w:r>
            <w:r w:rsidRPr="00FA479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roduct, and service design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for the elderly</w:t>
            </w:r>
          </w:p>
        </w:tc>
      </w:tr>
      <w:tr w:rsidR="0058385A" w:rsidRPr="00173C3E" w14:paraId="3CB92627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8C93920" w14:textId="44648FBF" w:rsidR="0058385A" w:rsidRPr="00173C3E" w:rsidRDefault="005E58A5" w:rsidP="0053336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1B227F4C" w14:textId="77777777" w:rsidR="00B72FBB" w:rsidRDefault="00B72FBB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2FBB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AFC03FC" w14:textId="77777777" w:rsidR="008E4D02" w:rsidRDefault="008E4D02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E4D02">
              <w:rPr>
                <w:rFonts w:ascii="微软雅黑" w:eastAsia="微软雅黑" w:hAnsi="微软雅黑" w:cs="微软雅黑"/>
                <w:color w:val="000000"/>
                <w:szCs w:val="21"/>
              </w:rPr>
              <w:t>The second track: Product design for the elderly</w:t>
            </w:r>
          </w:p>
          <w:p w14:paraId="1AA16555" w14:textId="72A1337A" w:rsidR="00425F10" w:rsidRPr="005D5942" w:rsidRDefault="00C87E15" w:rsidP="005D5942">
            <w:pPr>
              <w:pStyle w:val="af"/>
              <w:widowControl/>
              <w:numPr>
                <w:ilvl w:val="0"/>
                <w:numId w:val="1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5D5942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="00425F10" w:rsidRPr="005D5942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:  </w:t>
            </w:r>
            <w:r w:rsidR="003B51B0" w:rsidRPr="005D5942">
              <w:rPr>
                <w:rFonts w:ascii="微软雅黑" w:eastAsia="微软雅黑" w:hAnsi="微软雅黑" w:cs="微软雅黑"/>
                <w:color w:val="000000"/>
                <w:szCs w:val="21"/>
              </w:rPr>
              <w:t>Recruitment of old-age IP operation</w:t>
            </w:r>
          </w:p>
        </w:tc>
      </w:tr>
      <w:tr w:rsidR="007C7424" w:rsidRPr="00173C3E" w14:paraId="79DCAED6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8136B7A" w14:textId="40B43F9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4C0F1670" w14:textId="721B8613" w:rsidR="007C7424" w:rsidRPr="00173C3E" w:rsidRDefault="005F7048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D</w:t>
            </w:r>
            <w:r w:rsidRPr="005F704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ance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P</w:t>
            </w:r>
            <w:r w:rsidRPr="005F704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artner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—A p</w:t>
            </w:r>
            <w:r w:rsidRPr="005F704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ublic square danc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e</w:t>
            </w:r>
            <w:r w:rsidRPr="005F704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service system design</w:t>
            </w:r>
          </w:p>
        </w:tc>
      </w:tr>
      <w:tr w:rsidR="007C7424" w:rsidRPr="00173C3E" w14:paraId="14431A53" w14:textId="77777777" w:rsidTr="008843FB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163B806" w14:textId="14F760F4" w:rsidR="007C7424" w:rsidRPr="00173C3E" w:rsidRDefault="007C7424" w:rsidP="007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3EB0C748" w14:textId="581FA73E" w:rsidR="007C7424" w:rsidRPr="00173C3E" w:rsidRDefault="007C7424" w:rsidP="007C74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group, informati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n of all the group members)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D9F152" w14:textId="7881697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9A4D" w14:textId="232A0E99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B48B4" w14:textId="7789F5E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990D4DF" w14:textId="3C9AA8EB" w:rsidR="007C7424" w:rsidRPr="00173C3E" w:rsidRDefault="00173C3E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7D0C13" w:rsidRPr="00173C3E" w14:paraId="5182259E" w14:textId="77777777" w:rsidTr="008843FB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D55952D" w14:textId="7C1AA142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0748D3F1" w14:textId="1EB51BEF" w:rsidR="007D0C13" w:rsidRPr="007A60AC" w:rsidRDefault="007D0C13" w:rsidP="007D0C13">
            <w:pPr>
              <w:jc w:val="center"/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inyu</w:t>
            </w:r>
            <w:r>
              <w:t xml:space="preserve"> Z</w:t>
            </w:r>
            <w:r>
              <w:rPr>
                <w:rFonts w:hint="eastAsia"/>
              </w:rPr>
              <w:t>hang</w:t>
            </w:r>
          </w:p>
        </w:tc>
        <w:tc>
          <w:tcPr>
            <w:tcW w:w="1701" w:type="dxa"/>
            <w:shd w:val="clear" w:color="auto" w:fill="auto"/>
          </w:tcPr>
          <w:p w14:paraId="0FF769F1" w14:textId="748EF8B7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13512981506</w:t>
            </w:r>
          </w:p>
        </w:tc>
        <w:tc>
          <w:tcPr>
            <w:tcW w:w="2268" w:type="dxa"/>
            <w:shd w:val="clear" w:color="auto" w:fill="auto"/>
          </w:tcPr>
          <w:p w14:paraId="21A80E88" w14:textId="2BE87B8B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820831958@qq.com</w:t>
            </w:r>
          </w:p>
        </w:tc>
        <w:tc>
          <w:tcPr>
            <w:tcW w:w="1257" w:type="dxa"/>
            <w:shd w:val="clear" w:color="auto" w:fill="auto"/>
          </w:tcPr>
          <w:p w14:paraId="474231ED" w14:textId="461C7C0F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UPT</w:t>
            </w:r>
          </w:p>
        </w:tc>
      </w:tr>
      <w:tr w:rsidR="007D0C13" w:rsidRPr="00173C3E" w14:paraId="505AEEB7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8E9F40C" w14:textId="2F8D352C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12441514" w14:textId="5BA04150" w:rsidR="007D0C13" w:rsidRPr="007A60AC" w:rsidRDefault="001E0313" w:rsidP="007D0C13">
            <w:pPr>
              <w:jc w:val="center"/>
            </w:pPr>
            <w:r w:rsidRPr="007A60AC">
              <w:t>Shuyue Jin</w:t>
            </w:r>
          </w:p>
        </w:tc>
        <w:tc>
          <w:tcPr>
            <w:tcW w:w="1701" w:type="dxa"/>
            <w:shd w:val="clear" w:color="auto" w:fill="auto"/>
          </w:tcPr>
          <w:p w14:paraId="58E953E4" w14:textId="4585BC2C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13031157188</w:t>
            </w:r>
          </w:p>
        </w:tc>
        <w:tc>
          <w:tcPr>
            <w:tcW w:w="2268" w:type="dxa"/>
            <w:shd w:val="clear" w:color="auto" w:fill="auto"/>
          </w:tcPr>
          <w:p w14:paraId="0A443171" w14:textId="1C69E3E6" w:rsidR="007D0C13" w:rsidRPr="00173C3E" w:rsidRDefault="008843FB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8843FB">
              <w:t>jinshuyue029@163.com</w:t>
            </w:r>
          </w:p>
        </w:tc>
        <w:tc>
          <w:tcPr>
            <w:tcW w:w="1257" w:type="dxa"/>
            <w:shd w:val="clear" w:color="auto" w:fill="auto"/>
          </w:tcPr>
          <w:p w14:paraId="752966D5" w14:textId="15C6EBD5" w:rsidR="007D0C13" w:rsidRPr="00173C3E" w:rsidRDefault="00443969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UPT</w:t>
            </w:r>
          </w:p>
        </w:tc>
      </w:tr>
      <w:tr w:rsidR="007D0C13" w:rsidRPr="00173C3E" w14:paraId="2FF32737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B84CDB4" w14:textId="77777777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40D44975" w14:textId="71702C74" w:rsidR="007D0C13" w:rsidRPr="007A60AC" w:rsidRDefault="001E0313" w:rsidP="007D0C13">
            <w:pPr>
              <w:jc w:val="center"/>
            </w:pPr>
            <w:r>
              <w:t>Linkai Lyu</w:t>
            </w:r>
          </w:p>
        </w:tc>
        <w:tc>
          <w:tcPr>
            <w:tcW w:w="1701" w:type="dxa"/>
            <w:shd w:val="clear" w:color="auto" w:fill="auto"/>
          </w:tcPr>
          <w:p w14:paraId="2B12E9E4" w14:textId="4911684C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13031016366</w:t>
            </w:r>
          </w:p>
        </w:tc>
        <w:tc>
          <w:tcPr>
            <w:tcW w:w="2268" w:type="dxa"/>
            <w:shd w:val="clear" w:color="auto" w:fill="auto"/>
          </w:tcPr>
          <w:p w14:paraId="0FA3A83F" w14:textId="3BDB0812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1916431163@qq.com</w:t>
            </w:r>
          </w:p>
        </w:tc>
        <w:tc>
          <w:tcPr>
            <w:tcW w:w="1257" w:type="dxa"/>
            <w:shd w:val="clear" w:color="auto" w:fill="auto"/>
          </w:tcPr>
          <w:p w14:paraId="147A3941" w14:textId="62BE3527" w:rsidR="007D0C13" w:rsidRPr="00173C3E" w:rsidRDefault="00443969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UPT</w:t>
            </w:r>
          </w:p>
        </w:tc>
      </w:tr>
      <w:tr w:rsidR="007D0C13" w:rsidRPr="00173C3E" w14:paraId="3DAEB2E2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1E343017" w14:textId="77777777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5325A44B" w14:textId="0DC1025E" w:rsidR="007D0C13" w:rsidRPr="007A60AC" w:rsidRDefault="001E0313" w:rsidP="007D0C13">
            <w:pPr>
              <w:jc w:val="center"/>
            </w:pPr>
            <w:r>
              <w:t>Meng Zhang</w:t>
            </w:r>
          </w:p>
        </w:tc>
        <w:tc>
          <w:tcPr>
            <w:tcW w:w="1701" w:type="dxa"/>
            <w:shd w:val="clear" w:color="auto" w:fill="auto"/>
          </w:tcPr>
          <w:p w14:paraId="661CA517" w14:textId="72EE25F1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13261773366</w:t>
            </w:r>
          </w:p>
        </w:tc>
        <w:tc>
          <w:tcPr>
            <w:tcW w:w="2268" w:type="dxa"/>
            <w:shd w:val="clear" w:color="auto" w:fill="auto"/>
          </w:tcPr>
          <w:p w14:paraId="73F64702" w14:textId="35327893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 xml:space="preserve">1146571745@qq.com </w:t>
            </w:r>
          </w:p>
        </w:tc>
        <w:tc>
          <w:tcPr>
            <w:tcW w:w="1257" w:type="dxa"/>
            <w:shd w:val="clear" w:color="auto" w:fill="auto"/>
          </w:tcPr>
          <w:p w14:paraId="4A0F07E5" w14:textId="3909AAE3" w:rsidR="007D0C13" w:rsidRPr="00173C3E" w:rsidRDefault="00443969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UPT</w:t>
            </w:r>
          </w:p>
        </w:tc>
      </w:tr>
      <w:tr w:rsidR="007D0C13" w:rsidRPr="00173C3E" w14:paraId="69D618BD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72116802" w14:textId="77777777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0D001C0" w14:textId="517E3331" w:rsidR="007D0C13" w:rsidRPr="007A60AC" w:rsidRDefault="001E0313" w:rsidP="007D0C13">
            <w:pPr>
              <w:jc w:val="center"/>
            </w:pPr>
            <w:r>
              <w:t>Chao Ma</w:t>
            </w:r>
          </w:p>
        </w:tc>
        <w:tc>
          <w:tcPr>
            <w:tcW w:w="1701" w:type="dxa"/>
            <w:shd w:val="clear" w:color="auto" w:fill="auto"/>
          </w:tcPr>
          <w:p w14:paraId="66DFE150" w14:textId="32CD7B64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15810813793</w:t>
            </w:r>
          </w:p>
        </w:tc>
        <w:tc>
          <w:tcPr>
            <w:tcW w:w="2268" w:type="dxa"/>
            <w:shd w:val="clear" w:color="auto" w:fill="auto"/>
          </w:tcPr>
          <w:p w14:paraId="35D3AD9A" w14:textId="10038BFD" w:rsidR="007D0C13" w:rsidRPr="00173C3E" w:rsidRDefault="007D0C13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17280">
              <w:t>895142861@qq.com</w:t>
            </w:r>
          </w:p>
        </w:tc>
        <w:tc>
          <w:tcPr>
            <w:tcW w:w="1257" w:type="dxa"/>
            <w:shd w:val="clear" w:color="auto" w:fill="auto"/>
          </w:tcPr>
          <w:p w14:paraId="14B7CA3C" w14:textId="30FAC435" w:rsidR="007D0C13" w:rsidRPr="00173C3E" w:rsidRDefault="00443969" w:rsidP="007D0C1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UPT</w:t>
            </w:r>
          </w:p>
        </w:tc>
      </w:tr>
      <w:tr w:rsidR="007C7424" w:rsidRPr="00173C3E" w14:paraId="55AC955B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5800CA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C728EDB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DF2AC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789EC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37048FC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B8C9BE8" w14:textId="77777777" w:rsidTr="008843FB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8EAAB8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DC37AB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469C9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F105FF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37FDEA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3E" w:rsidRPr="00173C3E" w14:paraId="54FAC555" w14:textId="77777777" w:rsidTr="00DC0421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2C4AB714" w14:textId="6EE95741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</w:t>
            </w:r>
            <w:r w:rsidR="003624F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introduction of the work: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 w:rsidR="00E6469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00 words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5E98532C" w14:textId="10612BA8" w:rsidR="00B20063" w:rsidRDefault="00B20063" w:rsidP="00112ED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dance partner is a concept of "making the square dance a social culture”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Through the analysis of the pain points of the dancers and</w:t>
            </w:r>
            <w:r w:rsidRPr="004D2DC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public in the square dance system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square dance social culture including the online platform and offline hardware is created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D47966" w14:textId="77777777" w:rsidR="00F01D7E" w:rsidRPr="004D2DCF" w:rsidRDefault="00F01D7E" w:rsidP="00112ED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5FD38147" w14:textId="44422A70" w:rsidR="00173C3E" w:rsidRDefault="00B20063" w:rsidP="00112ED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Combining current technology and utilizing the characteristics of the Internet era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square dance system is optimized through a multi-touch including a social APP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 combination of directional sound source and lighting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 modular sound speaker set cart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a series of</w:t>
            </w:r>
            <w:r w:rsidRPr="004D2DC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square dance performance planning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The experience of lead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lastRenderedPageBreak/>
              <w:t>dancers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ordinary dancers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spectators and the general public extends the</w:t>
            </w:r>
            <w:r w:rsidR="00E00D0A" w:rsidRPr="004D2DC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service process of the square dance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="00E00D0A"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making the general public willing to enter the square dance to become the audience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="00E00D0A"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audience</w:t>
            </w:r>
            <w:r w:rsidR="00E00D0A" w:rsidRPr="004D2DC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becomes the dancers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="00E00D0A"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the dancers achieve good communication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  <w:r w:rsidR="00E00D0A"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Eventually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</w:t>
            </w:r>
            <w:r w:rsidR="00E00D0A"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square dance social culture was given and the social</w:t>
            </w:r>
            <w:r w:rsidR="00E00D0A" w:rsidRPr="004D2DC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status of the square dance was changed</w:t>
            </w:r>
            <w:r w:rsidR="00DE2E5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62EDF8" w14:textId="77777777" w:rsidR="00F01D7E" w:rsidRPr="004D2DCF" w:rsidRDefault="00F01D7E" w:rsidP="00112ED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580F4734" w14:textId="77777777" w:rsidR="00DE2E55" w:rsidRDefault="004D2DCF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First of all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attitude of different groups of people to square dance is collected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We found that the controversy and disagreement of the community about square dance is basically caused by the different attitudes of the lead dancer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ordinary dancer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the(want to participate)audience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the general public to the square dance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needs of each stakeholder can be divided into two dimensions: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"inward social identity"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"external social participation"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found that the ultimate vision of the four categories of people are in the "social culture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" This puts forward the idea of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"making square dance a social culture"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put forward three design opportunities to improve the social status of square dance:</w:t>
            </w:r>
          </w:p>
          <w:p w14:paraId="666A2A9A" w14:textId="77777777" w:rsidR="00DE2E55" w:rsidRDefault="004D2DCF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Combine the current technology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reduce the interference of square dance and enhance the social identity of square dance;</w:t>
            </w:r>
          </w:p>
          <w:p w14:paraId="72718240" w14:textId="77777777" w:rsidR="00DE2E55" w:rsidRDefault="004D2DCF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Use the Internet era to improve the social experience of square dance dancers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Dancer's sense of social participation;</w:t>
            </w:r>
          </w:p>
          <w:p w14:paraId="11D0A74B" w14:textId="2350106C" w:rsidR="00173C3E" w:rsidRDefault="004D2DCF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2DC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Expand the range of people participating in the square dance system and create a social culture of square dance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92C418" w14:textId="77777777" w:rsidR="00F01D7E" w:rsidRPr="003624FD" w:rsidRDefault="00F01D7E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6ECC16D4" w14:textId="1137753E" w:rsidR="00DB2A10" w:rsidRPr="00DB2A10" w:rsidRDefault="00DB2A10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We transform the functionality into requirements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There will be a function that can satisfy both types of people at the same time as the main experience point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The dancers combine f</w:t>
            </w:r>
            <w:r w:rsidR="005C2D7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o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ur points of contact with their innovative all-round experience points:</w:t>
            </w:r>
          </w:p>
          <w:p w14:paraId="2694AADE" w14:textId="7B0359E6" w:rsidR="00DB2A10" w:rsidRPr="00DB2A10" w:rsidRDefault="00DB2A10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1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 speaker with a directional sound source and a light source</w:t>
            </w:r>
            <w:r w:rsidR="00D40BE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BD733" w14:textId="64D90E0D" w:rsidR="00DB2A10" w:rsidRPr="00DB2A10" w:rsidRDefault="00DB2A10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2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Created a modular audio stand for the leader dance to conveniently and conveniently manage the sound</w:t>
            </w:r>
            <w:r w:rsidR="00D40BE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2B7D1F" w14:textId="043E60F3" w:rsidR="00DB2A10" w:rsidRPr="00DB2A10" w:rsidRDefault="00DB2A10" w:rsidP="00D40BE0">
            <w:pPr>
              <w:jc w:val="left"/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3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Online app that meets the social needs of ordinary dancers and the needs of leading dance management organizations</w:t>
            </w:r>
            <w:r w:rsidR="00D40BE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931009" w14:textId="0679A3CA" w:rsidR="00D40BE0" w:rsidRDefault="00DB2A10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4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Square dance performance planning centered on the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"Dance Partner"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brand</w:t>
            </w:r>
            <w:r w:rsidR="00D40BE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8D3269" w14:textId="77777777" w:rsidR="00F01D7E" w:rsidRDefault="00F01D7E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CAEA757" w14:textId="1404573A" w:rsidR="00173C3E" w:rsidRPr="00173C3E" w:rsidRDefault="00DB2A10" w:rsidP="00D40BE0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For the four types of users to create an experience that meets their own needs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combined with the business model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its self-operation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2A1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and ultimately make the square dance a social culture</w:t>
            </w:r>
            <w:r w:rsidR="000D39C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35665D6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448D832E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3EE5DA5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78D315DD" w14:textId="6952D6B4" w:rsidR="00E30C20" w:rsidRPr="00173C3E" w:rsidRDefault="00E30C20" w:rsidP="00B72FBB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3706A" w14:textId="77777777" w:rsidR="007C7424" w:rsidRPr="007C7424" w:rsidRDefault="007C7424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2E40" w14:textId="77777777" w:rsidR="00F73C5D" w:rsidRDefault="00F73C5D" w:rsidP="002C1B0D">
      <w:r>
        <w:separator/>
      </w:r>
    </w:p>
  </w:endnote>
  <w:endnote w:type="continuationSeparator" w:id="0">
    <w:p w14:paraId="1E31BFE6" w14:textId="77777777" w:rsidR="00F73C5D" w:rsidRDefault="00F73C5D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5BE0" w14:textId="77777777" w:rsidR="00F73C5D" w:rsidRDefault="00F73C5D" w:rsidP="002C1B0D">
      <w:r>
        <w:separator/>
      </w:r>
    </w:p>
  </w:footnote>
  <w:footnote w:type="continuationSeparator" w:id="0">
    <w:p w14:paraId="36941400" w14:textId="77777777" w:rsidR="00F73C5D" w:rsidRDefault="00F73C5D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FCC0467"/>
    <w:multiLevelType w:val="hybridMultilevel"/>
    <w:tmpl w:val="B12ED030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5152BD"/>
    <w:multiLevelType w:val="hybridMultilevel"/>
    <w:tmpl w:val="64163B9A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203D"/>
    <w:rsid w:val="00027C47"/>
    <w:rsid w:val="00063D90"/>
    <w:rsid w:val="000858C8"/>
    <w:rsid w:val="000A5E76"/>
    <w:rsid w:val="000B24BF"/>
    <w:rsid w:val="000D39CC"/>
    <w:rsid w:val="000F12E3"/>
    <w:rsid w:val="00112ED4"/>
    <w:rsid w:val="00125FA7"/>
    <w:rsid w:val="0013002F"/>
    <w:rsid w:val="00170F86"/>
    <w:rsid w:val="00173C3E"/>
    <w:rsid w:val="001C6CB4"/>
    <w:rsid w:val="001D6790"/>
    <w:rsid w:val="001E0313"/>
    <w:rsid w:val="00214529"/>
    <w:rsid w:val="00233486"/>
    <w:rsid w:val="00243DEB"/>
    <w:rsid w:val="00282F4B"/>
    <w:rsid w:val="002A5B14"/>
    <w:rsid w:val="002C1B0D"/>
    <w:rsid w:val="00340F61"/>
    <w:rsid w:val="00346911"/>
    <w:rsid w:val="003513AF"/>
    <w:rsid w:val="0035599D"/>
    <w:rsid w:val="003624FD"/>
    <w:rsid w:val="003661FF"/>
    <w:rsid w:val="003B51B0"/>
    <w:rsid w:val="003B5CFF"/>
    <w:rsid w:val="003F35DD"/>
    <w:rsid w:val="003F6253"/>
    <w:rsid w:val="004111F5"/>
    <w:rsid w:val="00417199"/>
    <w:rsid w:val="00425F10"/>
    <w:rsid w:val="00430325"/>
    <w:rsid w:val="00443969"/>
    <w:rsid w:val="00445AA3"/>
    <w:rsid w:val="004636C7"/>
    <w:rsid w:val="00467C98"/>
    <w:rsid w:val="004D2DCF"/>
    <w:rsid w:val="004E6DED"/>
    <w:rsid w:val="005176FB"/>
    <w:rsid w:val="00527500"/>
    <w:rsid w:val="005275A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C2D74"/>
    <w:rsid w:val="005D5942"/>
    <w:rsid w:val="005E58A5"/>
    <w:rsid w:val="005F345A"/>
    <w:rsid w:val="005F7048"/>
    <w:rsid w:val="00603BE1"/>
    <w:rsid w:val="0063148D"/>
    <w:rsid w:val="0067187C"/>
    <w:rsid w:val="00707081"/>
    <w:rsid w:val="00736F73"/>
    <w:rsid w:val="00765735"/>
    <w:rsid w:val="0076767E"/>
    <w:rsid w:val="007805EE"/>
    <w:rsid w:val="007830E6"/>
    <w:rsid w:val="00785018"/>
    <w:rsid w:val="007A25A2"/>
    <w:rsid w:val="007A60AC"/>
    <w:rsid w:val="007C092D"/>
    <w:rsid w:val="007C7424"/>
    <w:rsid w:val="007D0C13"/>
    <w:rsid w:val="007D4141"/>
    <w:rsid w:val="0081640F"/>
    <w:rsid w:val="00832EC2"/>
    <w:rsid w:val="00837660"/>
    <w:rsid w:val="0084561E"/>
    <w:rsid w:val="00871B44"/>
    <w:rsid w:val="008843FB"/>
    <w:rsid w:val="008B2573"/>
    <w:rsid w:val="008C557B"/>
    <w:rsid w:val="008C6672"/>
    <w:rsid w:val="008E4D02"/>
    <w:rsid w:val="00923E2A"/>
    <w:rsid w:val="00952488"/>
    <w:rsid w:val="00957FBC"/>
    <w:rsid w:val="00965742"/>
    <w:rsid w:val="00971782"/>
    <w:rsid w:val="00975E5E"/>
    <w:rsid w:val="009C420C"/>
    <w:rsid w:val="00A444A5"/>
    <w:rsid w:val="00A70A0F"/>
    <w:rsid w:val="00A81EF7"/>
    <w:rsid w:val="00A97F77"/>
    <w:rsid w:val="00AC3E99"/>
    <w:rsid w:val="00AD7324"/>
    <w:rsid w:val="00B20063"/>
    <w:rsid w:val="00B37260"/>
    <w:rsid w:val="00B631A5"/>
    <w:rsid w:val="00B72FBB"/>
    <w:rsid w:val="00BB6114"/>
    <w:rsid w:val="00BB7B78"/>
    <w:rsid w:val="00BC1EA5"/>
    <w:rsid w:val="00C26283"/>
    <w:rsid w:val="00C6142C"/>
    <w:rsid w:val="00C70AC4"/>
    <w:rsid w:val="00C87E15"/>
    <w:rsid w:val="00CB71C1"/>
    <w:rsid w:val="00CD1C2D"/>
    <w:rsid w:val="00CE192B"/>
    <w:rsid w:val="00CF6FD4"/>
    <w:rsid w:val="00D40BE0"/>
    <w:rsid w:val="00D86A65"/>
    <w:rsid w:val="00DB2A10"/>
    <w:rsid w:val="00DE2E55"/>
    <w:rsid w:val="00DF7401"/>
    <w:rsid w:val="00E00D0A"/>
    <w:rsid w:val="00E1248B"/>
    <w:rsid w:val="00E30C20"/>
    <w:rsid w:val="00E4435C"/>
    <w:rsid w:val="00E6469F"/>
    <w:rsid w:val="00EA585D"/>
    <w:rsid w:val="00EC3C12"/>
    <w:rsid w:val="00ED5F37"/>
    <w:rsid w:val="00F00325"/>
    <w:rsid w:val="00F01D7E"/>
    <w:rsid w:val="00F104E8"/>
    <w:rsid w:val="00F27292"/>
    <w:rsid w:val="00F73C5D"/>
    <w:rsid w:val="00F973C2"/>
    <w:rsid w:val="00FA4799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  <w:style w:type="character" w:styleId="af1">
    <w:name w:val="Hyperlink"/>
    <w:basedOn w:val="a0"/>
    <w:uiPriority w:val="99"/>
    <w:unhideWhenUsed/>
    <w:rsid w:val="00B631A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B6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788EDB-7144-4319-AEDA-A68EA62C3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linkai</cp:lastModifiedBy>
  <cp:revision>36</cp:revision>
  <dcterms:created xsi:type="dcterms:W3CDTF">2020-05-31T02:26:00Z</dcterms:created>
  <dcterms:modified xsi:type="dcterms:W3CDTF">2020-09-01T07:39:00Z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