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10"/>
        <w:tblpPr w:leftFromText="180" w:rightFromText="180" w:vertAnchor="text" w:horzAnchor="page" w:tblpXSpec="center" w:tblpY="234"/>
        <w:tblOverlap w:val="never"/>
        <w:tblW w:w="8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969"/>
        <w:gridCol w:w="18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p>
            <w:pPr>
              <w:pStyle w:val="20"/>
              <w:widowControl/>
              <w:numPr>
                <w:numId w:val="0"/>
              </w:numPr>
              <w:ind w:left="1260" w:leftChars="0"/>
              <w:jc w:val="left"/>
              <w:textAlignment w:val="center"/>
              <w:rPr>
                <w:rFonts w:ascii="微软雅黑" w:hAnsi="微软雅黑" w:eastAsia="微软雅黑" w:cs="微软雅黑"/>
                <w:color w:val="000000"/>
                <w:szCs w:val="21"/>
              </w:rPr>
            </w:pPr>
            <w:r>
              <w:rPr>
                <w:rFonts w:hint="eastAsia" w:ascii="宋体" w:hAnsi="宋体"/>
                <w:snapToGrid w:val="0"/>
                <w:kern w:val="0"/>
                <w:szCs w:val="21"/>
              </w:rPr>
              <w:t>☑</w:t>
            </w:r>
            <w:r>
              <w:rPr>
                <w:rFonts w:hint="eastAsia" w:ascii="宋体" w:hAnsi="宋体"/>
                <w:snapToGrid w:val="0"/>
                <w:kern w:val="0"/>
                <w:szCs w:val="21"/>
                <w:lang w:val="en-US" w:eastAsia="zh-CN"/>
              </w:rPr>
              <w:t xml:space="preserve">  </w:t>
            </w:r>
            <w:r>
              <w:rPr>
                <w:rFonts w:hint="eastAsia" w:ascii="微软雅黑" w:hAnsi="微软雅黑" w:eastAsia="微软雅黑" w:cs="微软雅黑"/>
                <w:color w:val="000000"/>
                <w:szCs w:val="21"/>
              </w:rPr>
              <w:t>赛道二:</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老年银发产品设计</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赛道三:</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老年运营</w:t>
            </w:r>
            <w:r>
              <w:rPr>
                <w:rFonts w:ascii="微软雅黑" w:hAnsi="微软雅黑" w:eastAsia="微软雅黑" w:cs="微软雅黑"/>
                <w:color w:val="000000"/>
                <w:szCs w:val="21"/>
              </w:rPr>
              <w:t>IP 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共享轮椅护理床设计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刘勇</w:t>
            </w:r>
          </w:p>
        </w:tc>
        <w:tc>
          <w:tcPr>
            <w:tcW w:w="1969"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13012700935</w:t>
            </w:r>
          </w:p>
        </w:tc>
        <w:tc>
          <w:tcPr>
            <w:tcW w:w="1813" w:type="dxa"/>
            <w:shd w:val="clear" w:color="auto" w:fill="auto"/>
            <w:vAlign w:val="center"/>
          </w:tcPr>
          <w:p>
            <w:pPr>
              <w:jc w:val="center"/>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625217607@qq.com</w:t>
            </w:r>
          </w:p>
        </w:tc>
        <w:tc>
          <w:tcPr>
            <w:tcW w:w="1842"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湖南工程学院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李诗华</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17369240317</w:t>
            </w:r>
          </w:p>
        </w:tc>
        <w:tc>
          <w:tcPr>
            <w:tcW w:w="1813" w:type="dxa"/>
            <w:shd w:val="clear" w:color="auto" w:fill="auto"/>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color w:val="000000"/>
                <w:sz w:val="16"/>
                <w:szCs w:val="16"/>
              </w:rPr>
              <w:t>1043162942@qq.com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湖南工程学院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王伯奇</w:t>
            </w:r>
          </w:p>
        </w:tc>
        <w:tc>
          <w:tcPr>
            <w:tcW w:w="1969"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18163983965</w:t>
            </w:r>
          </w:p>
        </w:tc>
        <w:tc>
          <w:tcPr>
            <w:tcW w:w="1813" w:type="dxa"/>
            <w:shd w:val="clear" w:color="auto" w:fill="auto"/>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color w:val="000000"/>
                <w:sz w:val="16"/>
                <w:szCs w:val="16"/>
              </w:rPr>
              <w:t>1662777678@qq.com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湖南工程学院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朱佳慧</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18163985008</w:t>
            </w:r>
          </w:p>
        </w:tc>
        <w:tc>
          <w:tcPr>
            <w:tcW w:w="1813" w:type="dxa"/>
            <w:shd w:val="clear" w:color="auto" w:fill="auto"/>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color w:val="000000"/>
                <w:sz w:val="16"/>
                <w:szCs w:val="16"/>
              </w:rPr>
              <w:t>2537469874@qq.com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湖南工程学院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畅雨强</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18163988392</w:t>
            </w:r>
          </w:p>
        </w:tc>
        <w:tc>
          <w:tcPr>
            <w:tcW w:w="1813" w:type="dxa"/>
            <w:shd w:val="clear" w:color="auto" w:fill="auto"/>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color w:val="000000"/>
                <w:sz w:val="16"/>
                <w:szCs w:val="16"/>
              </w:rPr>
              <w:t>870117970@qq.com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湖南工程学院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杨迁迁</w:t>
            </w:r>
          </w:p>
        </w:tc>
        <w:tc>
          <w:tcPr>
            <w:tcW w:w="1969"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17513250936</w:t>
            </w:r>
          </w:p>
        </w:tc>
        <w:tc>
          <w:tcPr>
            <w:tcW w:w="1813" w:type="dxa"/>
            <w:shd w:val="clear" w:color="auto" w:fill="auto"/>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color w:val="000000"/>
                <w:sz w:val="16"/>
                <w:szCs w:val="16"/>
              </w:rPr>
              <w:t>1345386180@qq.com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湖南工程学院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章勇</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13762205169</w:t>
            </w:r>
          </w:p>
        </w:tc>
        <w:tc>
          <w:tcPr>
            <w:tcW w:w="1813" w:type="dxa"/>
            <w:shd w:val="clear" w:color="auto" w:fill="auto"/>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color w:val="000000"/>
                <w:sz w:val="16"/>
                <w:szCs w:val="16"/>
              </w:rPr>
              <w:t>13870671@qq.com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湖南工程学院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在我本人大学三年纪暑假的时候，奶奶患病卧床不起一年多了，日常起居必须有人24小时陪护，由于种种原因，我和我爸爸负责照顾奶奶，当时有这么一个场景我至今都记忆尤新，，一天中奶奶每隔一小时要上一次厕所（奶奶大小便失禁已经一年了，神智也不清了），一天下来得把奶奶从床到轮椅（普通轮椅）再从轮椅到床的转换得有30、40次，暑假那一个月把我给累坏了，更别说我爸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因此我发誓我一定要设计一款轮椅，能让家人和护理人员更好更方便的照顾卧床老人！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共享轮椅护理床是一款通过轮椅和床相互转换的方式解决失能人在家庭、医院护理问题的第二类医疗器械产品。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1.轮椅和护理床的相互转换，方便家人、护理人员更好照顾卧床老人等失能人。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2.共享设计，共享设计目的是方便让更多的人使用，让资源利用率最大化。</w:t>
            </w: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tc>
      </w:tr>
    </w:tbl>
    <w:p>
      <w:pPr>
        <w:widowControl/>
        <w:jc w:val="left"/>
        <w:rPr>
          <w:b/>
          <w:bCs/>
        </w:rPr>
      </w:pPr>
      <w:r>
        <w:rPr>
          <w:rFonts w:ascii="Times New Roman" w:hAnsi="Times New Roman" w:cs="Times New Roman"/>
          <w:sz w:val="28"/>
          <w:szCs w:val="28"/>
        </w:rPr>
        <w:t>Application Form</w:t>
      </w:r>
    </w:p>
    <w:tbl>
      <w:tblPr>
        <w:tblStyle w:val="10"/>
        <w:tblpPr w:leftFromText="180" w:rightFromText="180" w:vertAnchor="text" w:horzAnchor="page" w:tblpXSpec="center" w:tblpY="234"/>
        <w:tblOverlap w:val="never"/>
        <w:tblW w:w="8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numId w:val="0"/>
              </w:numPr>
              <w:ind w:left="420" w:leftChars="0"/>
              <w:jc w:val="left"/>
              <w:textAlignment w:val="center"/>
              <w:rPr>
                <w:rFonts w:ascii="微软雅黑" w:hAnsi="微软雅黑" w:eastAsia="微软雅黑" w:cs="微软雅黑"/>
                <w:color w:val="000000"/>
                <w:szCs w:val="21"/>
              </w:rPr>
            </w:pPr>
            <w:r>
              <w:rPr>
                <w:rFonts w:hint="eastAsia" w:ascii="宋体" w:hAnsi="宋体"/>
                <w:snapToGrid w:val="0"/>
                <w:kern w:val="0"/>
                <w:szCs w:val="21"/>
              </w:rPr>
              <w:t>☑</w:t>
            </w:r>
            <w:r>
              <w:rPr>
                <w:rFonts w:hint="eastAsia" w:ascii="宋体" w:hAnsi="宋体"/>
                <w:snapToGrid w:val="0"/>
                <w:kern w:val="0"/>
                <w:szCs w:val="21"/>
                <w:lang w:val="en-US" w:eastAsia="zh-CN"/>
              </w:rPr>
              <w:t xml:space="preserve">  </w:t>
            </w:r>
            <w:r>
              <w:rPr>
                <w:rFonts w:ascii="微软雅黑" w:hAnsi="微软雅黑" w:eastAsia="微软雅黑" w:cs="微软雅黑"/>
                <w:color w:val="000000"/>
                <w:szCs w:val="21"/>
              </w:rPr>
              <w:t>The second track: Product design for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lang w:val="en-GB"/>
              </w:rPr>
              <w:t>The third track</w:t>
            </w:r>
            <w:r>
              <w:rPr>
                <w:rFonts w:ascii="微软雅黑" w:hAnsi="微软雅黑" w:eastAsia="微软雅黑" w:cs="微软雅黑"/>
                <w:color w:val="000000"/>
                <w:szCs w:val="21"/>
              </w:rPr>
              <w:t>:  Recruitment of old-age IP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Design of shared wheelchair nursing bed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Liu Yong</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lang w:val="en-US" w:eastAsia="zh-CN"/>
              </w:rPr>
              <w:t>13012700935</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16"/>
                <w:lang w:val="en-US" w:eastAsia="zh-CN"/>
              </w:rPr>
              <w:t>625217607@qq.com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Hunan Institute of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Li Shihua</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rPr>
              <w:t>17369240317</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16"/>
              </w:rPr>
              <w:t>1043162942@qq.com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Hunan Institute of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Wang Boqi</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lang w:val="en-US" w:eastAsia="zh-CN"/>
              </w:rPr>
              <w:t>18163983965</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16"/>
              </w:rPr>
              <w:t>1662777678@qq.com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Hunan Institute of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Zhu Jiahui</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lang w:val="en-US" w:eastAsia="zh-CN"/>
              </w:rPr>
              <w:t>18163985008</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16"/>
              </w:rPr>
              <w:t>2537469874@qq.com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Hunan Institute of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Changyuqiang</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lang w:val="en-US" w:eastAsia="zh-CN"/>
              </w:rPr>
              <w:t>18163988392</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16"/>
              </w:rPr>
              <w:t>870117970@qq.com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Hunan Institute of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Yang Qianqian</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17513250936</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16"/>
              </w:rPr>
              <w:t>1345386180@qq.com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Hunan Institute of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Zhang Yong</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lang w:val="en-US" w:eastAsia="zh-CN"/>
              </w:rPr>
              <w:t>13762205169</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16"/>
              </w:rPr>
              <w:t>13870671@qq.com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Hunan Institute of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ascii="Times New Roman" w:hAnsi="Times New Roman" w:eastAsia="微软雅黑" w:cs="Times New Roman"/>
                <w:color w:val="7F7F7F" w:themeColor="background1" w:themeShade="80"/>
                <w:sz w:val="24"/>
                <w:szCs w:val="24"/>
              </w:rPr>
            </w:pPr>
          </w:p>
          <w:p>
            <w:pPr>
              <w:jc w:val="left"/>
              <w:rPr>
                <w:rFonts w:ascii="Times New Roman" w:hAnsi="Times New Roman" w:eastAsia="微软雅黑" w:cs="Times New Roman"/>
                <w:color w:val="000000"/>
                <w:sz w:val="24"/>
                <w:szCs w:val="24"/>
              </w:rPr>
            </w:pPr>
          </w:p>
          <w:p>
            <w:pPr>
              <w:jc w:val="left"/>
              <w:rPr>
                <w:rFonts w:hint="eastAsia"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In my third year college summer vacation, my grandmother was sick and bedridden for more than a year, and my daily life had to be accompanied by someone 24 hours a day. For various reasons, my father and I were responsible for taking care of my grandmother. There was such a scene that I still remember very new. My grandmother had to go to the toilet every hour every day (my grandmother had been incontinent for a year, and her mind was not clear ）One day, I had to change my grandmother from bed to wheelchair (ordinary wheelchair) and from wheelchair to bed 30 or 40 times a day. I was exhausted in the summer vacation, let alone my father.</w:t>
            </w:r>
          </w:p>
          <w:p>
            <w:pPr>
              <w:jc w:val="left"/>
              <w:rPr>
                <w:rFonts w:hint="eastAsia" w:ascii="Times New Roman" w:hAnsi="Times New Roman" w:eastAsia="微软雅黑" w:cs="Times New Roman"/>
                <w:color w:val="000000"/>
                <w:sz w:val="24"/>
                <w:szCs w:val="24"/>
              </w:rPr>
            </w:pPr>
          </w:p>
          <w:p>
            <w:pPr>
              <w:jc w:val="left"/>
              <w:rPr>
                <w:rFonts w:hint="eastAsia"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Therefore, I swear that I must design a wheelchair, which can make the family and nursing staff better and more convenient to take care of the bedridden elderly!</w:t>
            </w:r>
          </w:p>
          <w:p>
            <w:pPr>
              <w:jc w:val="left"/>
              <w:rPr>
                <w:rFonts w:hint="eastAsia" w:ascii="Times New Roman" w:hAnsi="Times New Roman" w:eastAsia="微软雅黑" w:cs="Times New Roman"/>
                <w:color w:val="000000"/>
                <w:sz w:val="24"/>
                <w:szCs w:val="24"/>
              </w:rPr>
            </w:pPr>
          </w:p>
          <w:p>
            <w:pPr>
              <w:jc w:val="left"/>
              <w:rPr>
                <w:rFonts w:hint="eastAsia"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The shared wheelchair nursing bed is a second kind of medical equipment product which can solve the nursing problems of disabled people in family and hospital through the mutual conversion of wheelchair and bed.</w:t>
            </w:r>
          </w:p>
          <w:p>
            <w:pPr>
              <w:jc w:val="left"/>
              <w:rPr>
                <w:rFonts w:hint="eastAsia" w:ascii="Times New Roman" w:hAnsi="Times New Roman" w:eastAsia="微软雅黑" w:cs="Times New Roman"/>
                <w:color w:val="000000"/>
                <w:sz w:val="24"/>
                <w:szCs w:val="24"/>
              </w:rPr>
            </w:pPr>
          </w:p>
          <w:p>
            <w:pPr>
              <w:jc w:val="left"/>
              <w:rPr>
                <w:rFonts w:hint="eastAsia"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1. The conversion of wheelchair and nursing bed is convenient for family members and nursing staff to take better care of disabled people such as bedridden elderly.</w:t>
            </w:r>
          </w:p>
          <w:p>
            <w:pPr>
              <w:jc w:val="left"/>
              <w:rPr>
                <w:rFonts w:hint="eastAsia"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2. Shared design, the purpose of shared design is to make it convenient for more people to use and maximize the utilization of resources.</w:t>
            </w:r>
            <w:bookmarkStart w:id="0" w:name="_GoBack"/>
            <w:bookmarkEnd w:id="0"/>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Helvetica Neue">
    <w:altName w:val="Helvetica"/>
    <w:panose1 w:val="02000503000000020004"/>
    <w:charset w:val="00"/>
    <w:family w:val="auto"/>
    <w:pitch w:val="default"/>
    <w:sig w:usb0="00000000" w:usb1="00000000" w:usb2="00000010" w:usb3="00000000" w:csb0="00000000" w:csb1="00000000"/>
  </w:font>
  <w:font w:name="Arial">
    <w:panose1 w:val="020B0604020202020204"/>
    <w:charset w:val="00"/>
    <w:family w:val="auto"/>
    <w:pitch w:val="default"/>
    <w:sig w:usb0="00007A87" w:usb1="80000000" w:usb2="00000008"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80"/>
    <w:family w:val="swiss"/>
    <w:pitch w:val="default"/>
    <w:sig w:usb0="00007A87" w:usb1="80000000" w:usb2="00000008" w:usb3="00000000" w:csb0="400001FF" w:csb1="FFFF0000"/>
  </w:font>
  <w:font w:name="webfon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1E5069A3"/>
    <w:rsid w:val="2326190E"/>
    <w:rsid w:val="35446F93"/>
    <w:rsid w:val="58345062"/>
    <w:rsid w:val="7F093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7"/>
    <w:semiHidden/>
    <w:unhideWhenUsed/>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Date Char"/>
    <w:basedOn w:val="9"/>
    <w:link w:val="2"/>
    <w:semiHidden/>
    <w:uiPriority w:val="99"/>
  </w:style>
  <w:style w:type="character" w:customStyle="1" w:styleId="13">
    <w:name w:val="Title Char"/>
    <w:basedOn w:val="9"/>
    <w:link w:val="8"/>
    <w:uiPriority w:val="1"/>
    <w:rPr>
      <w:rFonts w:asciiTheme="majorHAnsi" w:hAnsiTheme="majorHAnsi" w:eastAsiaTheme="majorEastAsia" w:cstheme="majorBidi"/>
      <w:kern w:val="0"/>
      <w:sz w:val="56"/>
      <w:szCs w:val="56"/>
    </w:rPr>
  </w:style>
  <w:style w:type="paragraph" w:customStyle="1" w:styleId="14">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9"/>
    <w:link w:val="5"/>
    <w:uiPriority w:val="99"/>
    <w:rPr>
      <w:sz w:val="18"/>
      <w:szCs w:val="18"/>
    </w:rPr>
  </w:style>
  <w:style w:type="character" w:customStyle="1" w:styleId="16">
    <w:name w:val="Footer Char"/>
    <w:basedOn w:val="9"/>
    <w:link w:val="4"/>
    <w:uiPriority w:val="99"/>
    <w:rPr>
      <w:sz w:val="18"/>
      <w:szCs w:val="18"/>
    </w:rPr>
  </w:style>
  <w:style w:type="character" w:customStyle="1" w:styleId="17">
    <w:name w:val="Balloon Text Char"/>
    <w:basedOn w:val="9"/>
    <w:link w:val="3"/>
    <w:semiHidden/>
    <w:uiPriority w:val="99"/>
    <w:rPr>
      <w:sz w:val="18"/>
      <w:szCs w:val="18"/>
    </w:rPr>
  </w:style>
  <w:style w:type="character" w:customStyle="1" w:styleId="18">
    <w:name w:val="HTML Preformatted Char"/>
    <w:basedOn w:val="9"/>
    <w:link w:val="6"/>
    <w:semiHidden/>
    <w:uiPriority w:val="99"/>
    <w:rPr>
      <w:rFonts w:ascii="宋体" w:hAnsi="宋体" w:eastAsia="宋体" w:cs="宋体"/>
      <w:kern w:val="0"/>
      <w:sz w:val="24"/>
      <w:szCs w:val="24"/>
    </w:rPr>
  </w:style>
  <w:style w:type="paragraph" w:customStyle="1" w:styleId="19">
    <w:name w:val="hidden-xs"/>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uiPriority w:val="99"/>
    <w:pPr>
      <w:ind w:firstLine="420" w:firstLineChars="200"/>
    </w:pPr>
  </w:style>
  <w:style w:type="character" w:styleId="21">
    <w:name w:val="Placeholder Text"/>
    <w:basedOn w:val="9"/>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ScaleCrop>false</ScaleCrop>
  <LinksUpToDate>false</LinksUpToDate>
  <CharactersWithSpaces>759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LY</cp:lastModifiedBy>
  <dcterms:modified xsi:type="dcterms:W3CDTF">2020-08-29T14:07:55Z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