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29"/>
        <w:gridCol w:w="1091"/>
        <w:gridCol w:w="1568"/>
        <w:gridCol w:w="2364"/>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808"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7279" w:type="dxa"/>
            <w:gridSpan w:val="4"/>
            <w:shd w:val="clear" w:color="auto" w:fill="auto"/>
            <w:vAlign w:val="center"/>
          </w:tcPr>
          <w:p>
            <w:pPr>
              <w:pStyle w:val="20"/>
              <w:widowControl/>
              <w:numPr>
                <w:ilvl w:val="0"/>
                <w:numId w:val="0"/>
              </w:numPr>
              <w:ind w:firstLine="210" w:firstLineChars="10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7279" w:type="dxa"/>
            <w:gridSpan w:val="4"/>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山居 • 拈花小镇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529"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09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56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22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09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吴佳琪</w:t>
            </w:r>
          </w:p>
        </w:tc>
        <w:tc>
          <w:tcPr>
            <w:tcW w:w="156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13417092782</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1278071842@qq.com</w:t>
            </w:r>
          </w:p>
        </w:tc>
        <w:tc>
          <w:tcPr>
            <w:tcW w:w="2256"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09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李嘉惠</w:t>
            </w:r>
          </w:p>
        </w:tc>
        <w:tc>
          <w:tcPr>
            <w:tcW w:w="1568"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13612224636</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790520130</w:t>
            </w:r>
            <w:r>
              <w:rPr>
                <w:rFonts w:hint="eastAsia" w:ascii="微软雅黑" w:hAnsi="微软雅黑" w:eastAsia="微软雅黑" w:cs="微软雅黑"/>
                <w:color w:val="000000"/>
                <w:szCs w:val="21"/>
              </w:rPr>
              <w:t>@qq.com</w:t>
            </w:r>
          </w:p>
        </w:tc>
        <w:tc>
          <w:tcPr>
            <w:tcW w:w="22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szCs w:val="21"/>
              </w:rPr>
            </w:pPr>
          </w:p>
        </w:tc>
        <w:tc>
          <w:tcPr>
            <w:tcW w:w="109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陈雅晴</w:t>
            </w:r>
          </w:p>
        </w:tc>
        <w:tc>
          <w:tcPr>
            <w:tcW w:w="156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13417092782</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1278071842@qq.com</w:t>
            </w:r>
          </w:p>
        </w:tc>
        <w:tc>
          <w:tcPr>
            <w:tcW w:w="22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szCs w:val="21"/>
              </w:rPr>
            </w:pPr>
          </w:p>
        </w:tc>
        <w:tc>
          <w:tcPr>
            <w:tcW w:w="109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吴泽宣</w:t>
            </w:r>
          </w:p>
        </w:tc>
        <w:tc>
          <w:tcPr>
            <w:tcW w:w="156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13417092782</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1278071842@qq.com</w:t>
            </w:r>
          </w:p>
        </w:tc>
        <w:tc>
          <w:tcPr>
            <w:tcW w:w="22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szCs w:val="21"/>
              </w:rPr>
            </w:pPr>
          </w:p>
        </w:tc>
        <w:tc>
          <w:tcPr>
            <w:tcW w:w="109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陈永杰</w:t>
            </w:r>
          </w:p>
        </w:tc>
        <w:tc>
          <w:tcPr>
            <w:tcW w:w="156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13417092782</w:t>
            </w:r>
          </w:p>
        </w:tc>
        <w:tc>
          <w:tcPr>
            <w:tcW w:w="2364"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1278071842@qq.com</w:t>
            </w:r>
          </w:p>
        </w:tc>
        <w:tc>
          <w:tcPr>
            <w:tcW w:w="22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szCs w:val="21"/>
              </w:rPr>
            </w:pPr>
          </w:p>
        </w:tc>
        <w:tc>
          <w:tcPr>
            <w:tcW w:w="1091" w:type="dxa"/>
            <w:shd w:val="clear" w:color="auto" w:fill="auto"/>
            <w:vAlign w:val="center"/>
          </w:tcPr>
          <w:p>
            <w:pPr>
              <w:jc w:val="center"/>
              <w:rPr>
                <w:rFonts w:ascii="微软雅黑" w:hAnsi="微软雅黑" w:eastAsia="微软雅黑" w:cs="微软雅黑"/>
                <w:color w:val="000000"/>
                <w:szCs w:val="21"/>
              </w:rPr>
            </w:pPr>
          </w:p>
        </w:tc>
        <w:tc>
          <w:tcPr>
            <w:tcW w:w="1568" w:type="dxa"/>
            <w:shd w:val="clear" w:color="auto" w:fill="auto"/>
            <w:vAlign w:val="center"/>
          </w:tcPr>
          <w:p>
            <w:pPr>
              <w:jc w:val="center"/>
              <w:rPr>
                <w:rFonts w:ascii="微软雅黑" w:hAnsi="微软雅黑" w:eastAsia="微软雅黑" w:cs="微软雅黑"/>
                <w:color w:val="000000"/>
                <w:szCs w:val="21"/>
              </w:rPr>
            </w:pPr>
          </w:p>
        </w:tc>
        <w:tc>
          <w:tcPr>
            <w:tcW w:w="2364" w:type="dxa"/>
            <w:shd w:val="clear" w:color="auto" w:fill="auto"/>
            <w:vAlign w:val="center"/>
          </w:tcPr>
          <w:p>
            <w:pPr>
              <w:jc w:val="center"/>
              <w:rPr>
                <w:rFonts w:ascii="微软雅黑" w:hAnsi="微软雅黑" w:eastAsia="微软雅黑" w:cs="微软雅黑"/>
                <w:color w:val="000000"/>
                <w:szCs w:val="21"/>
              </w:rPr>
            </w:pPr>
          </w:p>
        </w:tc>
        <w:tc>
          <w:tcPr>
            <w:tcW w:w="2256"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529" w:type="dxa"/>
            <w:vMerge w:val="continue"/>
            <w:shd w:val="clear" w:color="auto" w:fill="auto"/>
            <w:vAlign w:val="center"/>
          </w:tcPr>
          <w:p>
            <w:pPr>
              <w:jc w:val="center"/>
              <w:rPr>
                <w:rFonts w:ascii="微软雅黑" w:hAnsi="微软雅黑" w:eastAsia="微软雅黑" w:cs="微软雅黑"/>
                <w:color w:val="000000"/>
                <w:szCs w:val="21"/>
              </w:rPr>
            </w:pPr>
          </w:p>
        </w:tc>
        <w:tc>
          <w:tcPr>
            <w:tcW w:w="1091" w:type="dxa"/>
            <w:shd w:val="clear" w:color="auto" w:fill="auto"/>
            <w:vAlign w:val="center"/>
          </w:tcPr>
          <w:p>
            <w:pPr>
              <w:jc w:val="center"/>
              <w:rPr>
                <w:rFonts w:ascii="微软雅黑" w:hAnsi="微软雅黑" w:eastAsia="微软雅黑" w:cs="微软雅黑"/>
                <w:color w:val="000000"/>
                <w:szCs w:val="21"/>
              </w:rPr>
            </w:pPr>
          </w:p>
        </w:tc>
        <w:tc>
          <w:tcPr>
            <w:tcW w:w="1568" w:type="dxa"/>
            <w:shd w:val="clear" w:color="auto" w:fill="auto"/>
            <w:vAlign w:val="center"/>
          </w:tcPr>
          <w:p>
            <w:pPr>
              <w:jc w:val="center"/>
              <w:rPr>
                <w:rFonts w:ascii="微软雅黑" w:hAnsi="微软雅黑" w:eastAsia="微软雅黑" w:cs="微软雅黑"/>
                <w:color w:val="000000"/>
                <w:szCs w:val="21"/>
              </w:rPr>
            </w:pPr>
          </w:p>
        </w:tc>
        <w:tc>
          <w:tcPr>
            <w:tcW w:w="2364" w:type="dxa"/>
            <w:shd w:val="clear" w:color="auto" w:fill="auto"/>
            <w:vAlign w:val="center"/>
          </w:tcPr>
          <w:p>
            <w:pPr>
              <w:jc w:val="center"/>
              <w:rPr>
                <w:rFonts w:ascii="微软雅黑" w:hAnsi="微软雅黑" w:eastAsia="微软雅黑" w:cs="微软雅黑"/>
                <w:color w:val="000000"/>
                <w:szCs w:val="21"/>
              </w:rPr>
            </w:pPr>
          </w:p>
        </w:tc>
        <w:tc>
          <w:tcPr>
            <w:tcW w:w="2256"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808"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山居 • 拈花小镇</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eastAsia="zh-CN"/>
              </w:rPr>
              <w:t>为老年人设计的小镇</w:t>
            </w:r>
            <w:r>
              <w:rPr>
                <w:rFonts w:hint="eastAsia" w:ascii="微软雅黑" w:hAnsi="微软雅黑" w:eastAsia="微软雅黑" w:cs="微软雅黑"/>
                <w:color w:val="000000"/>
                <w:szCs w:val="21"/>
              </w:rPr>
              <w:t>，设计寻找自然不求华丽惊艳，但求简简单单、朴素优雅。最适合喜静、淡然、不浮躁之人。隐居于田园之境，觅好友，赏花、品茶。</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山居 </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rPr>
              <w:t>取至唐代诗人王维的《山居秋暝》,“明月松间照，清泉石上流。”诗人寄情于山水田园以表达对隐居生活的怡然自得。</w:t>
            </w:r>
            <w:r>
              <w:rPr>
                <w:rFonts w:hint="eastAsia" w:ascii="微软雅黑" w:hAnsi="微软雅黑" w:eastAsia="微软雅黑" w:cs="微软雅黑"/>
                <w:color w:val="000000"/>
                <w:szCs w:val="21"/>
                <w:lang w:eastAsia="zh-CN"/>
              </w:rPr>
              <w:t>拈花</w:t>
            </w: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rPr>
              <w:t>取至“拈花一笑”。比喻心心相印、会心。</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出处宋·释普济《五灯会元·七佛·释迦牟尼佛》：“世尊在灵山会上，拈花示众，是时众皆默然，唯迦叶尊者破颜微笑。”</w:t>
            </w:r>
            <w:r>
              <w:rPr>
                <w:rFonts w:hint="eastAsia" w:ascii="微软雅黑" w:hAnsi="微软雅黑" w:eastAsia="微软雅黑" w:cs="微软雅黑"/>
                <w:color w:val="000000"/>
                <w:szCs w:val="21"/>
                <w:lang w:eastAsia="zh-CN"/>
              </w:rPr>
              <w:t>以</w:t>
            </w:r>
            <w:r>
              <w:rPr>
                <w:rFonts w:hint="eastAsia" w:ascii="微软雅黑" w:hAnsi="微软雅黑" w:eastAsia="微软雅黑" w:cs="微软雅黑"/>
                <w:color w:val="000000"/>
                <w:szCs w:val="21"/>
              </w:rPr>
              <w:t>花卉</w:t>
            </w:r>
            <w:r>
              <w:rPr>
                <w:rFonts w:hint="eastAsia" w:ascii="微软雅黑" w:hAnsi="微软雅黑" w:eastAsia="微软雅黑" w:cs="微软雅黑"/>
                <w:color w:val="000000"/>
                <w:szCs w:val="21"/>
                <w:lang w:eastAsia="zh-CN"/>
              </w:rPr>
              <w:t>为主题，营造养身养心的居住环境，</w:t>
            </w:r>
            <w:r>
              <w:rPr>
                <w:rFonts w:hint="eastAsia" w:ascii="微软雅黑" w:hAnsi="微软雅黑" w:eastAsia="微软雅黑" w:cs="微软雅黑"/>
                <w:color w:val="000000"/>
                <w:szCs w:val="21"/>
              </w:rPr>
              <w:t>一部分是从感受出发，通过农业园艺景观设计激发使用者在触觉、嗅觉、味觉、听觉和视觉等感官方面的疗效；</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另一部分则是通过课程设计让使用者积极参与进来，通过实践操作获得效益。</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lang w:eastAsia="zh-CN"/>
              </w:rPr>
              <w:t>房型多样，</w:t>
            </w:r>
            <w:r>
              <w:rPr>
                <w:rFonts w:hint="eastAsia" w:ascii="微软雅黑" w:hAnsi="微软雅黑" w:eastAsia="微软雅黑" w:cs="微软雅黑"/>
                <w:color w:val="000000"/>
                <w:szCs w:val="21"/>
              </w:rPr>
              <w:t>单人间、双人间与复合房型主要提供给可自理老人入住，居住期间护理人员主要以家政服务与检测健康情况为主。</w:t>
            </w:r>
            <w:r>
              <w:rPr>
                <w:rFonts w:hint="eastAsia" w:ascii="微软雅黑" w:hAnsi="微软雅黑" w:eastAsia="微软雅黑" w:cs="微软雅黑"/>
                <w:color w:val="000000"/>
                <w:szCs w:val="21"/>
                <w:lang w:eastAsia="zh-CN"/>
              </w:rPr>
              <w:t>经营模式，</w:t>
            </w:r>
            <w:r>
              <w:rPr>
                <w:rFonts w:hint="eastAsia" w:ascii="微软雅黑" w:hAnsi="微软雅黑" w:eastAsia="微软雅黑" w:cs="微软雅黑"/>
                <w:color w:val="000000"/>
                <w:szCs w:val="21"/>
              </w:rPr>
              <w:t>提供抱团模式与独居模式。老年群体同行可选择群体生活的同时拥有独立的个人空间，互不打扰。同居养老模式。旅居养老的同时拥有同行者的陪伴，给予安全感。护理房型增设护理间，设于两房间，便于护理人员使用，立面使用玻璃面，在老人危急时刻，能及时发现并救助。</w:t>
            </w:r>
            <w:r>
              <w:rPr>
                <w:rFonts w:hint="eastAsia" w:ascii="微软雅黑" w:hAnsi="微软雅黑" w:eastAsia="微软雅黑" w:cs="微软雅黑"/>
                <w:color w:val="000000"/>
                <w:szCs w:val="21"/>
                <w:lang w:eastAsia="zh-CN"/>
              </w:rPr>
              <w:t>老年人的设计，始于内心的设计。</w:t>
            </w: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918"/>
        <w:gridCol w:w="1716"/>
        <w:gridCol w:w="2382"/>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601"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1"/>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7184" w:type="dxa"/>
            <w:gridSpan w:val="4"/>
            <w:shd w:val="clear" w:color="auto" w:fill="auto"/>
            <w:vAlign w:val="center"/>
          </w:tcPr>
          <w:p>
            <w:pPr>
              <w:pStyle w:val="20"/>
              <w:widowControl/>
              <w:numPr>
                <w:ilvl w:val="0"/>
                <w:numId w:val="0"/>
              </w:numPr>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7184"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Shanju · Nianhua 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41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918"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716"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2382"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2168"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918"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吴佳琪</w:t>
            </w:r>
          </w:p>
        </w:tc>
        <w:tc>
          <w:tcPr>
            <w:tcW w:w="1716"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13417092782</w:t>
            </w:r>
          </w:p>
        </w:tc>
        <w:tc>
          <w:tcPr>
            <w:tcW w:w="2382"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1278071842@qq.com</w:t>
            </w:r>
          </w:p>
        </w:tc>
        <w:tc>
          <w:tcPr>
            <w:tcW w:w="2168"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李嘉惠</w:t>
            </w:r>
          </w:p>
        </w:tc>
        <w:tc>
          <w:tcPr>
            <w:tcW w:w="1716"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13612224636</w:t>
            </w:r>
          </w:p>
        </w:tc>
        <w:tc>
          <w:tcPr>
            <w:tcW w:w="2382"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790520130</w:t>
            </w:r>
            <w:r>
              <w:rPr>
                <w:rFonts w:hint="eastAsia" w:ascii="微软雅黑" w:hAnsi="微软雅黑" w:eastAsia="微软雅黑" w:cs="微软雅黑"/>
                <w:color w:val="000000"/>
                <w:szCs w:val="21"/>
              </w:rPr>
              <w:t>@qq.com</w:t>
            </w:r>
          </w:p>
        </w:tc>
        <w:tc>
          <w:tcPr>
            <w:tcW w:w="2168"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陈雅晴</w:t>
            </w:r>
          </w:p>
        </w:tc>
        <w:tc>
          <w:tcPr>
            <w:tcW w:w="1716"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13417092782</w:t>
            </w:r>
          </w:p>
        </w:tc>
        <w:tc>
          <w:tcPr>
            <w:tcW w:w="2382"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1278071842@qq.com</w:t>
            </w:r>
          </w:p>
        </w:tc>
        <w:tc>
          <w:tcPr>
            <w:tcW w:w="2168"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吴泽宣</w:t>
            </w:r>
          </w:p>
        </w:tc>
        <w:tc>
          <w:tcPr>
            <w:tcW w:w="1716"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13417092782</w:t>
            </w:r>
          </w:p>
        </w:tc>
        <w:tc>
          <w:tcPr>
            <w:tcW w:w="2382"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1278071842@qq.com</w:t>
            </w:r>
          </w:p>
        </w:tc>
        <w:tc>
          <w:tcPr>
            <w:tcW w:w="2168"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陈永杰</w:t>
            </w:r>
          </w:p>
        </w:tc>
        <w:tc>
          <w:tcPr>
            <w:tcW w:w="1716"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13417092782</w:t>
            </w:r>
          </w:p>
        </w:tc>
        <w:tc>
          <w:tcPr>
            <w:tcW w:w="2382"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1278071842@qq.com</w:t>
            </w:r>
          </w:p>
        </w:tc>
        <w:tc>
          <w:tcPr>
            <w:tcW w:w="2168"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ascii="Times New Roman" w:hAnsi="Times New Roman" w:eastAsia="微软雅黑" w:cs="Times New Roman"/>
                <w:color w:val="000000"/>
                <w:sz w:val="24"/>
                <w:szCs w:val="24"/>
              </w:rPr>
            </w:pPr>
          </w:p>
        </w:tc>
        <w:tc>
          <w:tcPr>
            <w:tcW w:w="1716" w:type="dxa"/>
            <w:shd w:val="clear" w:color="auto" w:fill="auto"/>
            <w:vAlign w:val="center"/>
          </w:tcPr>
          <w:p>
            <w:pPr>
              <w:jc w:val="center"/>
              <w:rPr>
                <w:rFonts w:ascii="Times New Roman" w:hAnsi="Times New Roman" w:eastAsia="微软雅黑" w:cs="Times New Roman"/>
                <w:color w:val="000000"/>
                <w:sz w:val="24"/>
                <w:szCs w:val="24"/>
              </w:rPr>
            </w:pPr>
          </w:p>
        </w:tc>
        <w:tc>
          <w:tcPr>
            <w:tcW w:w="2382" w:type="dxa"/>
            <w:shd w:val="clear" w:color="auto" w:fill="auto"/>
            <w:vAlign w:val="center"/>
          </w:tcPr>
          <w:p>
            <w:pPr>
              <w:jc w:val="center"/>
              <w:rPr>
                <w:rFonts w:ascii="Times New Roman" w:hAnsi="Times New Roman" w:eastAsia="微软雅黑" w:cs="Times New Roman"/>
                <w:color w:val="000000"/>
                <w:sz w:val="24"/>
                <w:szCs w:val="24"/>
              </w:rPr>
            </w:pPr>
          </w:p>
        </w:tc>
        <w:tc>
          <w:tcPr>
            <w:tcW w:w="2168"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41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918" w:type="dxa"/>
            <w:shd w:val="clear" w:color="auto" w:fill="auto"/>
            <w:vAlign w:val="center"/>
          </w:tcPr>
          <w:p>
            <w:pPr>
              <w:jc w:val="center"/>
              <w:rPr>
                <w:rFonts w:ascii="Times New Roman" w:hAnsi="Times New Roman" w:eastAsia="微软雅黑" w:cs="Times New Roman"/>
                <w:color w:val="000000"/>
                <w:sz w:val="24"/>
                <w:szCs w:val="24"/>
              </w:rPr>
            </w:pPr>
          </w:p>
        </w:tc>
        <w:tc>
          <w:tcPr>
            <w:tcW w:w="1716" w:type="dxa"/>
            <w:shd w:val="clear" w:color="auto" w:fill="auto"/>
            <w:vAlign w:val="center"/>
          </w:tcPr>
          <w:p>
            <w:pPr>
              <w:jc w:val="center"/>
              <w:rPr>
                <w:rFonts w:ascii="Times New Roman" w:hAnsi="Times New Roman" w:eastAsia="微软雅黑" w:cs="Times New Roman"/>
                <w:color w:val="000000"/>
                <w:sz w:val="24"/>
                <w:szCs w:val="24"/>
              </w:rPr>
            </w:pPr>
          </w:p>
        </w:tc>
        <w:tc>
          <w:tcPr>
            <w:tcW w:w="2382" w:type="dxa"/>
            <w:shd w:val="clear" w:color="auto" w:fill="auto"/>
            <w:vAlign w:val="center"/>
          </w:tcPr>
          <w:p>
            <w:pPr>
              <w:jc w:val="center"/>
              <w:rPr>
                <w:rFonts w:ascii="Times New Roman" w:hAnsi="Times New Roman" w:eastAsia="微软雅黑" w:cs="Times New Roman"/>
                <w:color w:val="000000"/>
                <w:sz w:val="24"/>
                <w:szCs w:val="24"/>
              </w:rPr>
            </w:pPr>
          </w:p>
        </w:tc>
        <w:tc>
          <w:tcPr>
            <w:tcW w:w="2168"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601"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Shanju · Nianhua town</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Small towns designed for the elderly seek nature, not gorgeous, but simple and elegant. Most suitable for people who like quiet, indifferent and not impetuous. Live in seclusion in the countryside, find friends, enjoy flowers and tea.</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Mountain Dwelling: from the Tang Dynasty poet Wang Wei's "mountain dwelling in autumn dusk", the "bright moon between the pine, clear spring stone upstream." The poet expresses his contentment in seclusion by expressing his feelings in the landscape and pastoral areas. Pick flowers: pick up flowers and smile. It is a metaphor of mutual affection and understanding.</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The source of the book "five Lantern Festival yuan · seven Buddhas · Sakyamuni Buddha" written by Shi Puji of Song Dynasty: "the Buddha held flowers to show the public at the Lingshan meeting. All the people were silent at that time, but the Buddha who was worshipped by Gaye broke his face and smile." Taking flowers as the theme, to create a healthy living environment, part of which is to start from the feeling, and stimulate the user's curative effect in the sense of touch, smell, taste, hearing and vision through the agricultural horticulture landscape design;</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The other part is to let users actively participate in the course design and obtain benefits through practical operation.</w:t>
            </w:r>
          </w:p>
          <w:p>
            <w:pPr>
              <w:jc w:val="left"/>
              <w:rPr>
                <w:rFonts w:hint="eastAsia" w:ascii="Times New Roman" w:hAnsi="Times New Roman" w:eastAsia="微软雅黑" w:cs="Times New Roman"/>
                <w:color w:val="7F7F7F" w:themeColor="background1" w:themeShade="80"/>
                <w:sz w:val="24"/>
                <w:szCs w:val="24"/>
              </w:rPr>
            </w:pPr>
          </w:p>
          <w:p>
            <w:pPr>
              <w:jc w:val="left"/>
              <w:rPr>
                <w:rFonts w:ascii="Times New Roman" w:hAnsi="Times New Roman" w:eastAsia="微软雅黑" w:cs="Times New Roman"/>
                <w:color w:val="000000"/>
                <w:sz w:val="24"/>
                <w:szCs w:val="24"/>
              </w:rPr>
            </w:pPr>
            <w:r>
              <w:rPr>
                <w:rFonts w:hint="eastAsia" w:ascii="Times New Roman" w:hAnsi="Times New Roman" w:eastAsia="微软雅黑" w:cs="Times New Roman"/>
                <w:color w:val="7F7F7F" w:themeColor="background1" w:themeShade="80"/>
                <w:sz w:val="24"/>
                <w:szCs w:val="24"/>
              </w:rPr>
              <w:t>The single room, double room and compound room are mainly provided for the elderly who can take care of themselves. Business model, providing group mode and living alone mode. The elderly group can choose group life and have independent personal space without disturbing each other. Cohabitation pension mode. Living for the aged and accompanied by fellow travelers, it gives a sense of security. The nursing room is equipped with a nursing room in two rooms, which is convenient for nursing staff to use. The facade uses glass surface, which can timely find and rescue the elderly in critical time. The design of the elderly begins with the design of the heart.</w:t>
            </w:r>
            <w:bookmarkStart w:id="0" w:name="_GoBack"/>
            <w:bookmarkEnd w:id="0"/>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Arial"/>
    <w:panose1 w:val="020B0604020202020204"/>
    <w:charset w:val="80"/>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Neue">
    <w:altName w:val="NumberOnly"/>
    <w:panose1 w:val="02000503000000020004"/>
    <w:charset w:val="00"/>
    <w:family w:val="auto"/>
    <w:pitch w:val="default"/>
    <w:sig w:usb0="00000000" w:usb1="00000000" w:usb2="0000001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0BBD529A"/>
    <w:rsid w:val="2326190E"/>
    <w:rsid w:val="3B6043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uiPriority w:val="99"/>
    <w:rPr>
      <w:sz w:val="18"/>
      <w:szCs w:val="18"/>
    </w:rPr>
  </w:style>
  <w:style w:type="character" w:customStyle="1" w:styleId="16">
    <w:name w:val="Footer Char"/>
    <w:basedOn w:val="11"/>
    <w:link w:val="4"/>
    <w:uiPriority w:val="99"/>
    <w:rPr>
      <w:sz w:val="18"/>
      <w:szCs w:val="18"/>
    </w:rPr>
  </w:style>
  <w:style w:type="character" w:customStyle="1" w:styleId="17">
    <w:name w:val="Balloon Text Char"/>
    <w:basedOn w:val="11"/>
    <w:link w:val="3"/>
    <w:semiHidden/>
    <w:uiPriority w:val="99"/>
    <w:rPr>
      <w:sz w:val="18"/>
      <w:szCs w:val="18"/>
    </w:rPr>
  </w:style>
  <w:style w:type="character" w:customStyle="1" w:styleId="18">
    <w:name w:val="HTML Preformatted Char"/>
    <w:basedOn w:val="11"/>
    <w:link w:val="6"/>
    <w:semiHidden/>
    <w:qFormat/>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TotalTime>
  <ScaleCrop>false</ScaleCrop>
  <LinksUpToDate>false</LinksUpToDate>
  <CharactersWithSpaces>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丸子</cp:lastModifiedBy>
  <dcterms:modified xsi:type="dcterms:W3CDTF">2020-08-01T15:31:25Z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