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设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计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说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明</w:t>
      </w:r>
    </w:p>
    <w:p>
      <w:pP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设计理念：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以山水林田湖村——生命共同体的理念为基础，以宜居、宜行、宜娱、宜购、宜养为体系打造植物多样式的适老空间。从生态角度出发，配合某些原生植物的特性（例如：竹子、松树等），产生并增加村庄内部及周边的负氧离子浓度，打造生态健康的宜居空间。本案设计特点是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1.颐养生态、2.益寿生活、3.全域宜老产业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三个角度打造一个典范性养老社区自生共养的发展模式。</w:t>
      </w:r>
    </w:p>
    <w:p>
      <w:pPr>
        <w:pStyle w:val="4"/>
        <w:numPr>
          <w:ilvl w:val="0"/>
          <w:numId w:val="1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颐养生态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：一方面打造了最佳的生态环境，第二方面以处理周边雨水污水的净化方式缓解了水源问题。</w:t>
      </w:r>
    </w:p>
    <w:p>
      <w:pPr>
        <w:pStyle w:val="4"/>
        <w:numPr>
          <w:ilvl w:val="0"/>
          <w:numId w:val="1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益寿生活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：采用了《黄帝内经》对长寿的解密，以最核心的“法于阴阳，和于术数，食饮有节，起居有常，不妄作劳”五条原则，打造了一个符合长寿颐养规律的生活方式和空间特征。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全域宜老产业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一方面提出“老有所为”，为老年人的各种技能创造第三产服务经济，第二方面老年人所需要的“康老产业、老年运动产业、养老产业、养老度假产业、会展产业、宜老植物产业”均需要相关产业的第一、第二、第三产业的支持，带动区域内自身服务和改变周边村民的产业，进行共同共荣的经济发展，为整个地域的大环境经济做出重大贡献。同时，契合新农村振兴的国家政策，乃至可申请国家专项款的支持。</w:t>
      </w:r>
    </w:p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设计定位：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通过本次设计改造，致力于将田茂村打造成兼顾水系与植物的生态康养型村庄。</w:t>
      </w:r>
    </w:p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解决问题：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内部景观感受单调，对外标识性缺乏。2.针对西安地理和气候，此区域的水源有待侧重解决，并且水生态环境有待提升。3.康养宜居空间考虑不足，促进人长寿的生活方式及理念未得以在功能空间中体现。4.村庄及周边产业情况未进行规划统筹，养老产业在区域内的打造方式、养老产业带动周边村庄共同发展的方式，有待侧重考虑。5.村庄高压线下的空间未纳入考虑。6.村庄生态环境需要继续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021"/>
    <w:multiLevelType w:val="multilevel"/>
    <w:tmpl w:val="6C2F10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0"/>
    <w:rsid w:val="003B3DB0"/>
    <w:rsid w:val="00BB0060"/>
    <w:rsid w:val="00E66AD0"/>
    <w:rsid w:val="5DE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650</Characters>
  <Lines>5</Lines>
  <Paragraphs>1</Paragraphs>
  <TotalTime>18</TotalTime>
  <ScaleCrop>false</ScaleCrop>
  <LinksUpToDate>false</LinksUpToDate>
  <CharactersWithSpaces>763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2020-07-30T11:15:00Z</dcterms:created>
  <dc:creator>long</dc:creator>
  <cp:lastModifiedBy>徐红</cp:lastModifiedBy>
  <dcterms:modified xsi:type="dcterms:W3CDTF">2020-07-31T04:57:28Z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